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487" w14:textId="474834FC" w:rsidR="00302A25" w:rsidRDefault="00302A25" w:rsidP="00302A2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74F3" wp14:editId="1D00C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6490" cy="1489710"/>
            <wp:effectExtent l="0" t="0" r="0" b="0"/>
            <wp:wrapTight wrapText="bothSides">
              <wp:wrapPolygon edited="0">
                <wp:start x="1461" y="0"/>
                <wp:lineTo x="365" y="1934"/>
                <wp:lineTo x="0" y="9391"/>
                <wp:lineTo x="1096" y="13811"/>
                <wp:lineTo x="4383" y="18230"/>
                <wp:lineTo x="9132" y="20716"/>
                <wp:lineTo x="9497" y="21269"/>
                <wp:lineTo x="12054" y="21269"/>
                <wp:lineTo x="12419" y="20716"/>
                <wp:lineTo x="16803" y="18230"/>
                <wp:lineTo x="20090" y="13811"/>
                <wp:lineTo x="21186" y="9944"/>
                <wp:lineTo x="21186" y="1381"/>
                <wp:lineTo x="18629" y="0"/>
                <wp:lineTo x="14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E9CA" w14:textId="69F57754" w:rsidR="00302A25" w:rsidRDefault="00302A25" w:rsidP="00302A25">
      <w:pPr>
        <w:pStyle w:val="NormalWeb"/>
      </w:pPr>
    </w:p>
    <w:p w14:paraId="35E57A7C" w14:textId="6E634E16" w:rsidR="00302A25" w:rsidRDefault="00302A25" w:rsidP="00302A25">
      <w:pPr>
        <w:pStyle w:val="NormalWeb"/>
      </w:pPr>
    </w:p>
    <w:p w14:paraId="57E0049C" w14:textId="77777777" w:rsidR="002332D2" w:rsidRDefault="002332D2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41B33580" w14:textId="77777777" w:rsidR="001B1065" w:rsidRPr="001B1065" w:rsidRDefault="001B1065" w:rsidP="001B1065">
      <w:pPr>
        <w:pStyle w:val="paragraph"/>
        <w:spacing w:before="0" w:beforeAutospacing="0" w:after="0" w:afterAutospacing="0"/>
        <w:textAlignment w:val="baseline"/>
        <w:rPr>
          <w:rFonts w:ascii="Quicksand" w:hAnsi="Quicksand"/>
          <w:color w:val="385623" w:themeColor="accent6" w:themeShade="80"/>
          <w:sz w:val="60"/>
          <w:szCs w:val="60"/>
        </w:rPr>
      </w:pPr>
      <w:r w:rsidRPr="001B1065">
        <w:rPr>
          <w:rFonts w:ascii="Quicksand" w:hAnsi="Quicksand"/>
          <w:color w:val="385623" w:themeColor="accent6" w:themeShade="80"/>
          <w:sz w:val="60"/>
          <w:szCs w:val="60"/>
        </w:rPr>
        <w:t>Work Experience</w:t>
      </w:r>
    </w:p>
    <w:p w14:paraId="13183CFB" w14:textId="77777777" w:rsidR="001B1065" w:rsidRPr="001B1065" w:rsidRDefault="001B1065" w:rsidP="001B1065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Cs w:val="28"/>
          <w:lang w:eastAsia="en-GB"/>
        </w:rPr>
      </w:pPr>
    </w:p>
    <w:p w14:paraId="23E8159E" w14:textId="77777777" w:rsidR="001B1065" w:rsidRPr="001B1065" w:rsidRDefault="001B1065" w:rsidP="001B1065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  <w:r w:rsidRPr="001B1065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Learn about key job roles while also gaining new and transferable employability skills through work experience. </w:t>
      </w:r>
    </w:p>
    <w:p w14:paraId="19921D3A" w14:textId="77777777" w:rsidR="001B1065" w:rsidRPr="001B1065" w:rsidRDefault="001B1065" w:rsidP="001B1065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</w:p>
    <w:p w14:paraId="1577F0D9" w14:textId="19AF659F" w:rsidR="001B1065" w:rsidRPr="001B1065" w:rsidRDefault="001B1065" w:rsidP="001B1065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  <w:r w:rsidRPr="001B1065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All students in Y12 must complete a minimum of three </w:t>
      </w:r>
      <w:proofErr w:type="spellStart"/>
      <w:r w:rsidRPr="001B1065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>days</w:t>
      </w:r>
      <w:proofErr w:type="spellEnd"/>
      <w:r w:rsidRPr="001B1065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 work experience as part of </w:t>
      </w:r>
      <w:proofErr w:type="gramStart"/>
      <w:r w:rsidRPr="001B1065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>their</w:t>
      </w:r>
      <w:proofErr w:type="gramEnd"/>
      <w:r w:rsidRPr="001B1065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 Be the Whole Package portfolio. Students in all key stages are encouraged to explore work experience opportunities. </w:t>
      </w:r>
    </w:p>
    <w:p w14:paraId="355F5FD8" w14:textId="77777777" w:rsidR="001B1065" w:rsidRPr="001B1065" w:rsidRDefault="001B1065" w:rsidP="001B10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6EC9EFD" w14:textId="77777777" w:rsidR="001B1065" w:rsidRPr="001B1065" w:rsidRDefault="001B1065" w:rsidP="001B10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6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>Bayer/</w:t>
        </w:r>
        <w:proofErr w:type="spellStart"/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>Baylab</w:t>
        </w:r>
        <w:proofErr w:type="spellEnd"/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 xml:space="preserve"> in the UK</w:t>
        </w:r>
      </w:hyperlink>
      <w:r w:rsidRPr="001B1065">
        <w:rPr>
          <w:rStyle w:val="normaltextrun"/>
          <w:rFonts w:ascii="Quicksand" w:hAnsi="Quicksand" w:cs="Calibri"/>
          <w:color w:val="385623" w:themeColor="accent6" w:themeShade="80"/>
          <w:lang w:val="en-US"/>
        </w:rPr>
        <w:t> 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5E9C0841" w14:textId="77777777" w:rsidR="001B1065" w:rsidRPr="001B1065" w:rsidRDefault="001B1065" w:rsidP="001B10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7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>Penguin Books UK</w:t>
        </w:r>
      </w:hyperlink>
      <w:r w:rsidRPr="001B1065">
        <w:rPr>
          <w:rStyle w:val="normaltextrun"/>
          <w:rFonts w:ascii="Quicksand" w:hAnsi="Quicksand" w:cs="Calibri"/>
          <w:color w:val="385623" w:themeColor="accent6" w:themeShade="80"/>
          <w:lang w:val="en-US"/>
        </w:rPr>
        <w:t> 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22F5963C" w14:textId="77777777" w:rsidR="001B1065" w:rsidRPr="001B1065" w:rsidRDefault="001B1065" w:rsidP="001B10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8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>Wates Group </w:t>
        </w:r>
      </w:hyperlink>
      <w:r w:rsidRPr="001B1065">
        <w:rPr>
          <w:rStyle w:val="normaltextrun"/>
          <w:rFonts w:ascii="Quicksand" w:hAnsi="Quicksand" w:cs="Calibri"/>
          <w:color w:val="385623" w:themeColor="accent6" w:themeShade="80"/>
          <w:lang w:val="en-US"/>
        </w:rPr>
        <w:t>  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42912F7F" w14:textId="77777777" w:rsidR="001B1065" w:rsidRPr="001B1065" w:rsidRDefault="001B1065" w:rsidP="001B10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56D801B6" w14:textId="77777777" w:rsidR="001B1065" w:rsidRPr="001B1065" w:rsidRDefault="001B1065" w:rsidP="001B10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385623" w:themeColor="accent6" w:themeShade="80"/>
        </w:rPr>
      </w:pPr>
      <w:r w:rsidRPr="001B1065">
        <w:rPr>
          <w:rStyle w:val="normaltextrun"/>
          <w:rFonts w:ascii="Calibri" w:hAnsi="Calibri" w:cs="Calibri"/>
          <w:b/>
          <w:bCs/>
          <w:color w:val="385623" w:themeColor="accent6" w:themeShade="80"/>
          <w:lang w:val="en-US"/>
        </w:rPr>
        <w:t>Work experience through Volunteering </w:t>
      </w:r>
      <w:r w:rsidRPr="001B1065">
        <w:rPr>
          <w:rStyle w:val="eop"/>
          <w:rFonts w:ascii="Calibri" w:hAnsi="Calibri" w:cs="Calibri"/>
          <w:b/>
          <w:color w:val="385623" w:themeColor="accent6" w:themeShade="80"/>
        </w:rPr>
        <w:t> </w:t>
      </w:r>
    </w:p>
    <w:p w14:paraId="37C69682" w14:textId="77777777" w:rsidR="001B1065" w:rsidRPr="001B1065" w:rsidRDefault="001B1065" w:rsidP="001B10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9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shd w:val="clear" w:color="auto" w:fill="FFFFFF"/>
          </w:rPr>
          <w:t>Reading Voluntary Action (RVA)</w:t>
        </w:r>
      </w:hyperlink>
      <w:r w:rsidRPr="001B1065">
        <w:rPr>
          <w:rStyle w:val="normaltextrun"/>
          <w:color w:val="385623" w:themeColor="accent6" w:themeShade="80"/>
          <w:shd w:val="clear" w:color="auto" w:fill="FFFFFF"/>
        </w:rPr>
        <w:t> 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5888C893" w14:textId="77777777" w:rsidR="001B1065" w:rsidRPr="001B1065" w:rsidRDefault="001B1065" w:rsidP="001B10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10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shd w:val="clear" w:color="auto" w:fill="FFFFFF"/>
          </w:rPr>
          <w:t>Cole Museum of Zoology</w:t>
        </w:r>
      </w:hyperlink>
      <w:r w:rsidRPr="001B1065">
        <w:rPr>
          <w:rStyle w:val="normaltextrun"/>
          <w:color w:val="385623" w:themeColor="accent6" w:themeShade="80"/>
          <w:shd w:val="clear" w:color="auto" w:fill="FFFFFF"/>
        </w:rPr>
        <w:t> 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128396F5" w14:textId="77777777" w:rsidR="001B1065" w:rsidRPr="001B1065" w:rsidRDefault="001B1065" w:rsidP="001B10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11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shd w:val="clear" w:color="auto" w:fill="FFFFFF"/>
          </w:rPr>
          <w:t>Museum of English Rural Life</w:t>
        </w:r>
      </w:hyperlink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5D42E987" w14:textId="77777777" w:rsidR="001B1065" w:rsidRPr="001B1065" w:rsidRDefault="001B1065" w:rsidP="001B10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12" w:tgtFrame="_blank" w:history="1"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>Wokingham Library Volunteering</w:t>
        </w:r>
      </w:hyperlink>
      <w:r w:rsidRPr="001B1065">
        <w:rPr>
          <w:rStyle w:val="normaltextrun"/>
          <w:rFonts w:ascii="Quicksand" w:hAnsi="Quicksand" w:cs="Calibri"/>
          <w:color w:val="385623" w:themeColor="accent6" w:themeShade="80"/>
          <w:lang w:val="en-US"/>
        </w:rPr>
        <w:t> 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6B05C68B" w14:textId="77777777" w:rsidR="001B1065" w:rsidRPr="001B1065" w:rsidRDefault="001B1065" w:rsidP="001B10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B1065">
        <w:rPr>
          <w:rStyle w:val="eop"/>
          <w:rFonts w:ascii="Calibri" w:hAnsi="Calibri" w:cs="Calibri"/>
        </w:rPr>
        <w:t> </w:t>
      </w:r>
    </w:p>
    <w:p w14:paraId="579EAEEB" w14:textId="77777777" w:rsidR="001B1065" w:rsidRPr="001B1065" w:rsidRDefault="001B1065" w:rsidP="001B10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85623" w:themeColor="accent6" w:themeShade="80"/>
        </w:rPr>
      </w:pPr>
      <w:r w:rsidRPr="001B1065">
        <w:rPr>
          <w:rStyle w:val="normaltextrun"/>
          <w:rFonts w:ascii="Calibri" w:hAnsi="Calibri" w:cs="Calibri"/>
          <w:b/>
          <w:bCs/>
          <w:color w:val="385623" w:themeColor="accent6" w:themeShade="80"/>
          <w:lang w:val="en-US"/>
        </w:rPr>
        <w:t>Virtual Work Experience and Learning  </w:t>
      </w:r>
      <w:r w:rsidRPr="001B1065">
        <w:rPr>
          <w:rStyle w:val="eop"/>
          <w:rFonts w:ascii="Calibri" w:hAnsi="Calibri" w:cs="Calibri"/>
          <w:color w:val="385623" w:themeColor="accent6" w:themeShade="80"/>
        </w:rPr>
        <w:t> </w:t>
      </w:r>
    </w:p>
    <w:p w14:paraId="7DA940EA" w14:textId="77777777" w:rsidR="001B1065" w:rsidRPr="001B1065" w:rsidRDefault="001B1065" w:rsidP="001B106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Quicksand" w:hAnsi="Quicksand" w:cs="Segoe UI"/>
          <w:color w:val="385623" w:themeColor="accent6" w:themeShade="80"/>
        </w:rPr>
      </w:pPr>
      <w:hyperlink r:id="rId13" w:tgtFrame="_blank" w:history="1">
        <w:proofErr w:type="spellStart"/>
        <w:r w:rsidRPr="001B1065">
          <w:rPr>
            <w:rStyle w:val="normaltextrun"/>
            <w:rFonts w:ascii="Quicksand" w:hAnsi="Quicksand" w:cs="Calibri"/>
            <w:color w:val="385623" w:themeColor="accent6" w:themeShade="80"/>
            <w:u w:val="single"/>
            <w:lang w:val="en-US"/>
          </w:rPr>
          <w:t>Springpod</w:t>
        </w:r>
        <w:proofErr w:type="spellEnd"/>
      </w:hyperlink>
      <w:r w:rsidRPr="001B1065">
        <w:rPr>
          <w:rStyle w:val="normaltextrun"/>
          <w:rFonts w:ascii="Quicksand" w:hAnsi="Quicksand" w:cs="Calibri"/>
          <w:color w:val="385623" w:themeColor="accent6" w:themeShade="80"/>
          <w:lang w:val="en-US"/>
        </w:rPr>
        <w:t> </w:t>
      </w:r>
      <w:r w:rsidRPr="001B1065">
        <w:rPr>
          <w:rStyle w:val="eop"/>
          <w:rFonts w:ascii="Quicksand" w:hAnsi="Quicksand" w:cs="Calibri"/>
          <w:color w:val="385623" w:themeColor="accent6" w:themeShade="80"/>
        </w:rPr>
        <w:t> </w:t>
      </w:r>
    </w:p>
    <w:p w14:paraId="612C3F27" w14:textId="77777777" w:rsidR="001B1065" w:rsidRPr="001B1065" w:rsidRDefault="001B1065" w:rsidP="001B106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Hyperlink"/>
          <w:rFonts w:ascii="Quicksand" w:hAnsi="Quicksand" w:cs="Segoe UI"/>
          <w:color w:val="385623" w:themeColor="accent6" w:themeShade="80"/>
          <w:u w:val="none"/>
        </w:rPr>
      </w:pPr>
      <w:hyperlink r:id="rId14" w:history="1">
        <w:r w:rsidRPr="001B1065">
          <w:rPr>
            <w:rStyle w:val="Hyperlink"/>
            <w:rFonts w:ascii="Quicksand" w:hAnsi="Quicksand"/>
            <w:color w:val="385623" w:themeColor="accent6" w:themeShade="80"/>
          </w:rPr>
          <w:t>The Forage</w:t>
        </w:r>
      </w:hyperlink>
    </w:p>
    <w:p w14:paraId="797F959A" w14:textId="77777777" w:rsidR="001B1065" w:rsidRPr="001B1065" w:rsidRDefault="001B1065" w:rsidP="001B106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Quicksand" w:hAnsi="Quicksand" w:cs="Segoe UI"/>
          <w:color w:val="385623" w:themeColor="accent6" w:themeShade="80"/>
        </w:rPr>
      </w:pPr>
      <w:hyperlink r:id="rId15" w:history="1">
        <w:proofErr w:type="spellStart"/>
        <w:r w:rsidRPr="001B1065">
          <w:rPr>
            <w:rStyle w:val="Hyperlink"/>
            <w:rFonts w:ascii="Quicksand" w:hAnsi="Quicksand"/>
            <w:color w:val="385623" w:themeColor="accent6" w:themeShade="80"/>
          </w:rPr>
          <w:t>FutureLearn</w:t>
        </w:r>
        <w:proofErr w:type="spellEnd"/>
      </w:hyperlink>
    </w:p>
    <w:p w14:paraId="334145DA" w14:textId="77777777" w:rsidR="0041034E" w:rsidRDefault="0041034E" w:rsidP="004103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sz w:val="60"/>
          <w:szCs w:val="60"/>
        </w:rPr>
      </w:pPr>
    </w:p>
    <w:sectPr w:rsidR="00410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56AC"/>
    <w:multiLevelType w:val="hybridMultilevel"/>
    <w:tmpl w:val="9D7A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4685"/>
    <w:multiLevelType w:val="hybridMultilevel"/>
    <w:tmpl w:val="C980B976"/>
    <w:lvl w:ilvl="0" w:tplc="934C3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9E1"/>
    <w:multiLevelType w:val="hybridMultilevel"/>
    <w:tmpl w:val="B5F64988"/>
    <w:lvl w:ilvl="0" w:tplc="D40691BA"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CE024C"/>
    <w:multiLevelType w:val="hybridMultilevel"/>
    <w:tmpl w:val="AFF4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C4719"/>
    <w:multiLevelType w:val="hybridMultilevel"/>
    <w:tmpl w:val="7866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203AD"/>
    <w:multiLevelType w:val="hybridMultilevel"/>
    <w:tmpl w:val="490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25"/>
    <w:rsid w:val="001B1065"/>
    <w:rsid w:val="002332D2"/>
    <w:rsid w:val="00302A25"/>
    <w:rsid w:val="0041034E"/>
    <w:rsid w:val="005A5ECB"/>
    <w:rsid w:val="0065469F"/>
    <w:rsid w:val="007345FF"/>
    <w:rsid w:val="0088074C"/>
    <w:rsid w:val="0092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724E"/>
  <w15:chartTrackingRefBased/>
  <w15:docId w15:val="{25BA68A8-1267-4A16-A821-51019A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2A25"/>
  </w:style>
  <w:style w:type="paragraph" w:styleId="ListParagraph">
    <w:name w:val="List Paragraph"/>
    <w:basedOn w:val="Normal"/>
    <w:uiPriority w:val="34"/>
    <w:qFormat/>
    <w:rsid w:val="0030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D2"/>
    <w:rPr>
      <w:color w:val="0000FF"/>
      <w:u w:val="single"/>
    </w:rPr>
  </w:style>
  <w:style w:type="character" w:customStyle="1" w:styleId="eop">
    <w:name w:val="eop"/>
    <w:basedOn w:val="DefaultParagraphFont"/>
    <w:rsid w:val="002332D2"/>
  </w:style>
  <w:style w:type="character" w:styleId="FollowedHyperlink">
    <w:name w:val="FollowedHyperlink"/>
    <w:basedOn w:val="DefaultParagraphFont"/>
    <w:uiPriority w:val="99"/>
    <w:semiHidden/>
    <w:unhideWhenUsed/>
    <w:rsid w:val="00410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s.co.uk/careers/early-careers/" TargetMode="External"/><Relationship Id="rId13" Type="http://schemas.openxmlformats.org/officeDocument/2006/relationships/hyperlink" Target="https://www.springpod.com/virtual-work-experience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nguinrandomhousecareers.co.uk/training-programmes/work-experience/" TargetMode="External"/><Relationship Id="rId12" Type="http://schemas.openxmlformats.org/officeDocument/2006/relationships/hyperlink" Target="https://www.wokingham.gov.uk/libraries/library-services/library-voluntee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ayer.co.uk/en/baylab/work-experience" TargetMode="External"/><Relationship Id="rId11" Type="http://schemas.openxmlformats.org/officeDocument/2006/relationships/hyperlink" Target="https://www.reading.ac.uk/TheMER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ur03.safelinks.protection.outlook.com/?url=https%3A%2F%2Fwww.futurelearn.com%2F&amp;data=05%7C01%7Clightfootl%40crispins.co.uk%7C618c324158cb43fc4e9708db2ac8a7ae%7Cd05d9dbd3b4947b99b2ed63ea1d39b6e%7C0%7C0%7C638150813508542526%7CUnknown%7CTWFpbGZsb3d8eyJWIjoiMC4wLjAwMDAiLCJQIjoiV2luMzIiLCJBTiI6Ik1haWwiLCJXVCI6Mn0%3D%7C3000%7C%7C%7C&amp;sdata=gQLNEN7PKE7Umpt5ZcWubf1vcW9NoBofH5XKkcA3%2BXs%3D&amp;reserved=0" TargetMode="External"/><Relationship Id="rId10" Type="http://schemas.openxmlformats.org/officeDocument/2006/relationships/hyperlink" Target="https://collections.reading.ac.uk/cole-museum/volunt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connectsystem.org.uk/ReadingVMS2/VolunteerOpportunities/OpportunitySearch" TargetMode="External"/><Relationship Id="rId14" Type="http://schemas.openxmlformats.org/officeDocument/2006/relationships/hyperlink" Target="https://eur03.safelinks.protection.outlook.com/?url=https%3A%2F%2Fwww.theforage.com%2F&amp;data=05%7C01%7Clightfootl%40crispins.co.uk%7C618c324158cb43fc4e9708db2ac8a7ae%7Cd05d9dbd3b4947b99b2ed63ea1d39b6e%7C0%7C0%7C638150813508542526%7CUnknown%7CTWFpbGZsb3d8eyJWIjoiMC4wLjAwMDAiLCJQIjoiV2luMzIiLCJBTiI6Ik1haWwiLCJXVCI6Mn0%3D%7C3000%7C%7C%7C&amp;sdata=C5fhOlidbsWpqn0gf0P5H8HdYdLqqip5YOMmn4qXZ1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Croucher (Staff)</dc:creator>
  <cp:keywords/>
  <dc:description/>
  <cp:lastModifiedBy>Tracy Croucher (Staff)</cp:lastModifiedBy>
  <cp:revision>2</cp:revision>
  <dcterms:created xsi:type="dcterms:W3CDTF">2024-11-12T12:13:00Z</dcterms:created>
  <dcterms:modified xsi:type="dcterms:W3CDTF">2024-11-12T12:13:00Z</dcterms:modified>
</cp:coreProperties>
</file>